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2E" w:rsidRPr="005A7DAA" w:rsidRDefault="0086702E" w:rsidP="0086702E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5A7DAA">
        <w:rPr>
          <w:rFonts w:ascii="Arial Black" w:hAnsi="Arial Black"/>
          <w:b/>
          <w:sz w:val="28"/>
          <w:szCs w:val="28"/>
        </w:rPr>
        <w:t>Thread NSTA Metric prefixes for powers of 10 question</w:t>
      </w:r>
    </w:p>
    <w:p w:rsidR="0086702E" w:rsidRDefault="0086702E" w:rsidP="0086702E"/>
    <w:p w:rsidR="0086702E" w:rsidRDefault="0086702E" w:rsidP="0086702E"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physics-request@list.nsta.org [mailto:physics-request@list.nsta.org] </w:t>
      </w:r>
      <w:r>
        <w:rPr>
          <w:rFonts w:ascii="Tahoma" w:hAnsi="Tahoma" w:cs="Tahoma"/>
          <w:b/>
          <w:bCs/>
          <w:sz w:val="20"/>
          <w:szCs w:val="20"/>
        </w:rPr>
        <w:t xml:space="preserve">On Behalf Of </w:t>
      </w:r>
      <w:r>
        <w:rPr>
          <w:rFonts w:ascii="Tahoma" w:hAnsi="Tahoma" w:cs="Tahoma"/>
          <w:sz w:val="20"/>
          <w:szCs w:val="20"/>
        </w:rPr>
        <w:t>Ann Huber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August 27, 2012 9:53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physics@list.nsta.org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metric prefixes for powers of 10</w:t>
      </w:r>
    </w:p>
    <w:p w:rsidR="0086702E" w:rsidRDefault="0086702E" w:rsidP="0086702E"/>
    <w:p w:rsidR="0086702E" w:rsidRDefault="0086702E" w:rsidP="0086702E">
      <w:r>
        <w:t>Dear Colleagues,</w:t>
      </w:r>
    </w:p>
    <w:p w:rsidR="0086702E" w:rsidRDefault="0086702E" w:rsidP="0086702E"/>
    <w:p w:rsidR="0086702E" w:rsidRDefault="0086702E" w:rsidP="0086702E">
      <w:r>
        <w:t>Today, I had a student ask what the prefixes are for metric units between a nanometer and a millimeter.  I have "googled" and am obviously not using the correct prompt. </w:t>
      </w:r>
    </w:p>
    <w:p w:rsidR="0086702E" w:rsidRDefault="0086702E" w:rsidP="0086702E">
      <w:r>
        <w:t>Does anyone have a link or know those prefixes?  </w:t>
      </w:r>
    </w:p>
    <w:p w:rsidR="0086702E" w:rsidRDefault="0086702E" w:rsidP="0086702E"/>
    <w:p w:rsidR="0086702E" w:rsidRDefault="0086702E" w:rsidP="0086702E">
      <w:r>
        <w:t>Thanks</w:t>
      </w:r>
    </w:p>
    <w:p w:rsidR="0086702E" w:rsidRDefault="0086702E" w:rsidP="0086702E">
      <w:r>
        <w:t>Ann Huber</w:t>
      </w:r>
    </w:p>
    <w:p w:rsidR="0086702E" w:rsidRDefault="0086702E" w:rsidP="0086702E">
      <w:r>
        <w:t>Delta State University</w:t>
      </w:r>
    </w:p>
    <w:p w:rsidR="0086702E" w:rsidRDefault="0086702E" w:rsidP="0086702E">
      <w:r>
        <w:t>E-Learning:  Physics and Physical Science</w:t>
      </w:r>
    </w:p>
    <w:p w:rsidR="0086702E" w:rsidRDefault="0086702E" w:rsidP="0086702E">
      <w:r>
        <w:t>Cleveland, MS</w:t>
      </w:r>
    </w:p>
    <w:p w:rsidR="0086702E" w:rsidRDefault="0086702E" w:rsidP="0086702E">
      <w:r>
        <w:t> </w:t>
      </w:r>
    </w:p>
    <w:p w:rsidR="00B27CCF" w:rsidRDefault="0086702E">
      <w:pPr>
        <w:rPr>
          <w:b/>
          <w:sz w:val="40"/>
          <w:szCs w:val="40"/>
        </w:rPr>
      </w:pPr>
      <w:r w:rsidRPr="0086702E">
        <w:rPr>
          <w:b/>
          <w:sz w:val="40"/>
          <w:szCs w:val="40"/>
        </w:rPr>
        <w:t>-------------------------------------------------------</w:t>
      </w:r>
    </w:p>
    <w:p w:rsidR="0086702E" w:rsidRDefault="0086702E">
      <w:pPr>
        <w:rPr>
          <w:b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>There isn't one. Officially, there are only 20 metric prefixes.</w:t>
      </w:r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Perry</w:t>
      </w:r>
    </w:p>
    <w:p w:rsidR="0086702E" w:rsidRDefault="0086702E">
      <w:pPr>
        <w:rPr>
          <w:b/>
        </w:rPr>
      </w:pPr>
    </w:p>
    <w:p w:rsidR="0086702E" w:rsidRDefault="0086702E">
      <w:pPr>
        <w:rPr>
          <w:b/>
        </w:rPr>
      </w:pPr>
    </w:p>
    <w:p w:rsidR="0086702E" w:rsidRDefault="0086702E" w:rsidP="0086702E">
      <w:pPr>
        <w:rPr>
          <w:rFonts w:ascii="Comic Sans MS" w:eastAsia="Times New Roman" w:hAnsi="Comic Sans MS"/>
          <w:color w:val="0000FF"/>
          <w:sz w:val="20"/>
          <w:szCs w:val="20"/>
        </w:rPr>
      </w:pPr>
      <w:r>
        <w:rPr>
          <w:rFonts w:ascii="Comic Sans MS" w:eastAsia="Times New Roman" w:hAnsi="Comic Sans MS"/>
          <w:color w:val="0000FF"/>
          <w:sz w:val="20"/>
          <w:szCs w:val="20"/>
        </w:rPr>
        <w:t>Ann</w:t>
      </w:r>
      <w:proofErr w:type="gramStart"/>
      <w:r>
        <w:rPr>
          <w:rFonts w:ascii="Comic Sans MS" w:eastAsia="Times New Roman" w:hAnsi="Comic Sans MS"/>
          <w:color w:val="0000FF"/>
          <w:sz w:val="20"/>
          <w:szCs w:val="20"/>
        </w:rPr>
        <w:t>,</w:t>
      </w:r>
      <w:proofErr w:type="gramEnd"/>
      <w:r>
        <w:rPr>
          <w:rFonts w:ascii="Comic Sans MS" w:eastAsia="Times New Roman" w:hAnsi="Comic Sans MS"/>
          <w:color w:val="0000FF"/>
          <w:sz w:val="20"/>
          <w:szCs w:val="20"/>
        </w:rPr>
        <w:br/>
      </w:r>
      <w:r>
        <w:rPr>
          <w:rFonts w:ascii="Comic Sans MS" w:eastAsia="Times New Roman" w:hAnsi="Comic Sans MS"/>
          <w:color w:val="0000FF"/>
          <w:sz w:val="20"/>
          <w:szCs w:val="20"/>
        </w:rPr>
        <w:br/>
        <w:t>Here is a great link....</w:t>
      </w:r>
      <w:r>
        <w:rPr>
          <w:rFonts w:ascii="Comic Sans MS" w:eastAsia="Times New Roman" w:hAnsi="Comic Sans MS"/>
          <w:color w:val="0000FF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Comic Sans MS" w:eastAsia="Times New Roman" w:hAnsi="Comic Sans MS"/>
            <w:sz w:val="20"/>
            <w:szCs w:val="20"/>
          </w:rPr>
          <w:t>http://www.metricconversion.us/prefixes.htm</w:t>
        </w:r>
      </w:hyperlink>
      <w:r>
        <w:rPr>
          <w:rFonts w:ascii="Comic Sans MS" w:eastAsia="Times New Roman" w:hAnsi="Comic Sans MS"/>
          <w:color w:val="0000FF"/>
          <w:sz w:val="20"/>
          <w:szCs w:val="20"/>
        </w:rPr>
        <w:br/>
      </w:r>
      <w:r>
        <w:rPr>
          <w:rFonts w:ascii="Comic Sans MS" w:eastAsia="Times New Roman" w:hAnsi="Comic Sans MS"/>
          <w:color w:val="0000FF"/>
          <w:sz w:val="20"/>
          <w:szCs w:val="20"/>
        </w:rPr>
        <w:br/>
        <w:t>Kathy</w:t>
      </w:r>
    </w:p>
    <w:p w:rsidR="0086702E" w:rsidRDefault="0086702E">
      <w:pPr>
        <w:rPr>
          <w:b/>
        </w:rPr>
      </w:pPr>
    </w:p>
    <w:p w:rsidR="0086702E" w:rsidRDefault="0086702E">
      <w:pPr>
        <w:rPr>
          <w:b/>
        </w:rPr>
      </w:pPr>
    </w:p>
    <w:p w:rsidR="0086702E" w:rsidRDefault="0086702E" w:rsidP="0086702E">
      <w:pPr>
        <w:spacing w:after="240"/>
      </w:pPr>
      <w:r>
        <w:t xml:space="preserve">When all else fails - go to the source. In this case, the Bureau International des </w:t>
      </w:r>
      <w:proofErr w:type="spellStart"/>
      <w:r>
        <w:t>Poids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Meseurs</w:t>
      </w:r>
      <w:proofErr w:type="spellEnd"/>
      <w:r>
        <w:t xml:space="preserve"> and their document entitled the International System of Units. English version, French original is definitive. </w:t>
      </w:r>
      <w:r>
        <w:br/>
        <w:t xml:space="preserve">Your answer is in Chapter 3. Enjoy! </w:t>
      </w:r>
      <w:r>
        <w:br/>
      </w:r>
      <w:hyperlink r:id="rId5" w:history="1">
        <w:r>
          <w:rPr>
            <w:rStyle w:val="Hyperlink"/>
          </w:rPr>
          <w:t>http://www.bipm.org/utils/common/pdf/si_brochure_8_en.pdf</w:t>
        </w:r>
      </w:hyperlink>
      <w:r>
        <w:br/>
        <w:t>Edward</w:t>
      </w:r>
    </w:p>
    <w:p w:rsidR="0086702E" w:rsidRDefault="0086702E">
      <w:pPr>
        <w:rPr>
          <w:b/>
        </w:rPr>
      </w:pPr>
    </w:p>
    <w:p w:rsidR="0086702E" w:rsidRDefault="0086702E" w:rsidP="0086702E">
      <w:r>
        <w:t xml:space="preserve">10^-3 = </w:t>
      </w:r>
      <w:proofErr w:type="spellStart"/>
      <w:r>
        <w:t>milli</w:t>
      </w:r>
      <w:proofErr w:type="spellEnd"/>
      <w:r>
        <w:t>- (millimeter)</w:t>
      </w:r>
    </w:p>
    <w:p w:rsidR="0086702E" w:rsidRDefault="0086702E" w:rsidP="0086702E">
      <w:r>
        <w:t>10^-6 = micro- (micrometer or micron)</w:t>
      </w:r>
    </w:p>
    <w:p w:rsidR="0086702E" w:rsidRDefault="0086702E" w:rsidP="0086702E">
      <w:r>
        <w:t xml:space="preserve">10^-9 = </w:t>
      </w:r>
      <w:proofErr w:type="spellStart"/>
      <w:r>
        <w:t>nano</w:t>
      </w:r>
      <w:proofErr w:type="spellEnd"/>
      <w:r>
        <w:t>- (nanometer)</w:t>
      </w:r>
    </w:p>
    <w:p w:rsidR="0086702E" w:rsidRDefault="0086702E" w:rsidP="0086702E">
      <w:r>
        <w:t>10^-12 = pico- (</w:t>
      </w:r>
      <w:proofErr w:type="spellStart"/>
      <w:r>
        <w:t>picometer</w:t>
      </w:r>
      <w:proofErr w:type="spellEnd"/>
      <w:r>
        <w:t>)</w:t>
      </w:r>
    </w:p>
    <w:p w:rsidR="0086702E" w:rsidRDefault="0086702E" w:rsidP="0086702E">
      <w:r>
        <w:lastRenderedPageBreak/>
        <w:t xml:space="preserve">10^-15 = </w:t>
      </w:r>
      <w:proofErr w:type="spellStart"/>
      <w:r>
        <w:t>femto</w:t>
      </w:r>
      <w:proofErr w:type="spellEnd"/>
      <w:r>
        <w:t>- (</w:t>
      </w:r>
      <w:proofErr w:type="spellStart"/>
      <w:r>
        <w:t>femtometer</w:t>
      </w:r>
      <w:proofErr w:type="spellEnd"/>
      <w:r>
        <w:t>)</w:t>
      </w:r>
    </w:p>
    <w:p w:rsidR="0086702E" w:rsidRDefault="0086702E" w:rsidP="0086702E"/>
    <w:p w:rsidR="0086702E" w:rsidRDefault="0086702E" w:rsidP="0086702E">
      <w:r>
        <w:t>Bob Drake</w:t>
      </w:r>
    </w:p>
    <w:p w:rsidR="0086702E" w:rsidRDefault="0086702E" w:rsidP="0086702E"/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>My bad - but there is nothing between the common ones (10^-6, 10^-9, 10^-12, etc</w:t>
      </w:r>
      <w:proofErr w:type="gramStart"/>
      <w:r>
        <w:rPr>
          <w:rFonts w:eastAsia="Times New Roman"/>
        </w:rPr>
        <w:t>..)</w:t>
      </w:r>
      <w:proofErr w:type="gramEnd"/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>Perry</w:t>
      </w:r>
    </w:p>
    <w:p w:rsidR="0086702E" w:rsidRDefault="0086702E" w:rsidP="0086702E">
      <w:pPr>
        <w:rPr>
          <w:b/>
        </w:rPr>
      </w:pPr>
    </w:p>
    <w:p w:rsidR="0086702E" w:rsidRDefault="0086702E" w:rsidP="0086702E">
      <w:pPr>
        <w:rPr>
          <w:b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>Au contraire!!</w:t>
      </w:r>
      <w:r>
        <w:rPr>
          <w:rFonts w:eastAsia="Times New Roman"/>
        </w:rPr>
        <w:br/>
      </w:r>
      <w:r>
        <w:rPr>
          <w:rFonts w:eastAsia="Times New Roman"/>
        </w:rPr>
        <w:br/>
        <w:t>Millimeters are 1/1000 of a meter. Nanometers are a millionth of that. 1/1000 of a millimeter is called a micrometer!! It is the unit between the two!!</w:t>
      </w:r>
      <w:r>
        <w:rPr>
          <w:rFonts w:eastAsia="Times New Roman"/>
        </w:rPr>
        <w:br/>
      </w:r>
      <w:r>
        <w:rPr>
          <w:rFonts w:eastAsia="Times New Roman"/>
        </w:rPr>
        <w:br/>
        <w:t>PHIL</w:t>
      </w:r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r>
        <w:rPr>
          <w:rFonts w:ascii="Calibri" w:hAnsi="Calibri"/>
          <w:color w:val="1F497D"/>
          <w:sz w:val="22"/>
          <w:szCs w:val="22"/>
        </w:rPr>
        <w:t>Hi Ann,</w:t>
      </w:r>
    </w:p>
    <w:p w:rsidR="0086702E" w:rsidRDefault="0086702E" w:rsidP="0086702E">
      <w:r>
        <w:rPr>
          <w:rFonts w:ascii="Calibri" w:hAnsi="Calibri"/>
          <w:color w:val="1F497D"/>
          <w:sz w:val="22"/>
          <w:szCs w:val="22"/>
        </w:rPr>
        <w:t> </w:t>
      </w:r>
    </w:p>
    <w:p w:rsidR="0086702E" w:rsidRDefault="0086702E" w:rsidP="0086702E">
      <w:r>
        <w:rPr>
          <w:rFonts w:ascii="Calibri" w:hAnsi="Calibri"/>
          <w:color w:val="1F497D"/>
          <w:sz w:val="22"/>
          <w:szCs w:val="22"/>
        </w:rPr>
        <w:t xml:space="preserve">SI has a specific number of metric prefixes.  If you notice from the table, prefixes greater than </w:t>
      </w:r>
      <w:r>
        <w:rPr>
          <w:rFonts w:ascii="Calibri" w:hAnsi="Calibri"/>
          <w:i/>
          <w:iCs/>
          <w:color w:val="1F497D"/>
          <w:sz w:val="22"/>
          <w:szCs w:val="22"/>
        </w:rPr>
        <w:t>kilo</w:t>
      </w:r>
      <w:r>
        <w:rPr>
          <w:rFonts w:ascii="Calibri" w:hAnsi="Calibri"/>
          <w:color w:val="1F497D"/>
          <w:sz w:val="22"/>
          <w:szCs w:val="22"/>
        </w:rPr>
        <w:t xml:space="preserve"> or smaller than</w:t>
      </w:r>
      <w:r>
        <w:rPr>
          <w:rFonts w:ascii="Calibri" w:hAnsi="Calibri"/>
          <w:i/>
          <w:iCs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color w:val="1F497D"/>
          <w:sz w:val="22"/>
          <w:szCs w:val="22"/>
        </w:rPr>
        <w:t>milli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are have exponents that are divisible by 3.  This might be a</w:t>
      </w:r>
      <w:proofErr w:type="gramStart"/>
      <w:r>
        <w:rPr>
          <w:rFonts w:ascii="Calibri" w:hAnsi="Calibri"/>
          <w:color w:val="1F497D"/>
          <w:sz w:val="22"/>
          <w:szCs w:val="22"/>
        </w:rPr>
        <w:t>  nice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exploration for the student to pursue</w:t>
      </w:r>
      <w:r>
        <w:rPr>
          <w:rFonts w:ascii="Calibri" w:hAnsi="Calibri"/>
          <w:i/>
          <w:iCs/>
          <w:color w:val="1F497D"/>
          <w:sz w:val="22"/>
          <w:szCs w:val="22"/>
        </w:rPr>
        <w:t>…“What effect would inclusion of additional prefixes have on the SI system?”</w:t>
      </w:r>
    </w:p>
    <w:p w:rsidR="0086702E" w:rsidRDefault="0086702E" w:rsidP="0086702E">
      <w:r>
        <w:rPr>
          <w:rFonts w:ascii="Calibri" w:hAnsi="Calibri"/>
          <w:i/>
          <w:iCs/>
          <w:color w:val="1F497D"/>
          <w:sz w:val="22"/>
          <w:szCs w:val="22"/>
        </w:rPr>
        <w:t> </w:t>
      </w:r>
    </w:p>
    <w:p w:rsidR="0086702E" w:rsidRDefault="0086702E" w:rsidP="0086702E">
      <w:r>
        <w:rPr>
          <w:rFonts w:ascii="Calibri" w:hAnsi="Calibri"/>
          <w:color w:val="1F497D"/>
          <w:sz w:val="22"/>
          <w:szCs w:val="22"/>
        </w:rPr>
        <w:t>Best,</w:t>
      </w:r>
    </w:p>
    <w:p w:rsidR="0086702E" w:rsidRDefault="0086702E" w:rsidP="0086702E">
      <w:r>
        <w:rPr>
          <w:rFonts w:ascii="Calibri" w:hAnsi="Calibri"/>
          <w:color w:val="1F497D"/>
          <w:sz w:val="22"/>
          <w:szCs w:val="22"/>
        </w:rPr>
        <w:t> </w:t>
      </w:r>
    </w:p>
    <w:p w:rsidR="0086702E" w:rsidRDefault="0086702E" w:rsidP="0086702E">
      <w:r>
        <w:rPr>
          <w:rFonts w:ascii="Calibri" w:hAnsi="Calibri"/>
          <w:color w:val="1F497D"/>
          <w:sz w:val="22"/>
          <w:szCs w:val="22"/>
        </w:rPr>
        <w:t>Peter</w:t>
      </w:r>
    </w:p>
    <w:p w:rsidR="0086702E" w:rsidRDefault="0086702E" w:rsidP="0086702E">
      <w:r>
        <w:rPr>
          <w:rFonts w:ascii="Calibri" w:hAnsi="Calibri"/>
          <w:i/>
          <w:iCs/>
          <w:color w:val="1F497D"/>
          <w:sz w:val="22"/>
          <w:szCs w:val="22"/>
        </w:rPr>
        <w:t> </w:t>
      </w:r>
    </w:p>
    <w:p w:rsidR="0086702E" w:rsidRDefault="0086702E" w:rsidP="0086702E">
      <w:r>
        <w:rPr>
          <w:rFonts w:ascii="Calibri" w:hAnsi="Calibri"/>
          <w:color w:val="1F497D"/>
          <w:sz w:val="22"/>
          <w:szCs w:val="22"/>
        </w:rPr>
        <w:t> </w:t>
      </w:r>
    </w:p>
    <w:p w:rsidR="0086702E" w:rsidRDefault="0086702E" w:rsidP="0086702E">
      <w:r>
        <w:rPr>
          <w:rFonts w:ascii="Palatino Linotype" w:hAnsi="Palatino Linotype"/>
          <w:b/>
          <w:bCs/>
          <w:color w:val="1F497D"/>
          <w:sz w:val="22"/>
          <w:szCs w:val="22"/>
        </w:rPr>
        <w:t xml:space="preserve">Peter J. McLaren, </w:t>
      </w:r>
      <w:r>
        <w:rPr>
          <w:rFonts w:ascii="Palatino Linotype" w:hAnsi="Palatino Linotype"/>
          <w:color w:val="1F497D"/>
          <w:sz w:val="22"/>
          <w:szCs w:val="22"/>
        </w:rPr>
        <w:t>President</w:t>
      </w:r>
    </w:p>
    <w:p w:rsidR="0086702E" w:rsidRDefault="0086702E" w:rsidP="0086702E">
      <w:r>
        <w:rPr>
          <w:rFonts w:ascii="Palatino Linotype" w:hAnsi="Palatino Linotype"/>
          <w:color w:val="1F497D"/>
          <w:sz w:val="18"/>
          <w:szCs w:val="18"/>
        </w:rPr>
        <w:t>Council of State Science Supervisors</w:t>
      </w:r>
    </w:p>
    <w:p w:rsidR="0086702E" w:rsidRDefault="0086702E" w:rsidP="0086702E">
      <w:r>
        <w:rPr>
          <w:rFonts w:ascii="Palatino Linotype" w:hAnsi="Palatino Linotype"/>
          <w:color w:val="1F497D"/>
          <w:sz w:val="18"/>
          <w:szCs w:val="18"/>
        </w:rPr>
        <w:t>(Office) 401-222-8454</w:t>
      </w:r>
    </w:p>
    <w:p w:rsidR="0086702E" w:rsidRDefault="0086702E" w:rsidP="0086702E">
      <w:r>
        <w:rPr>
          <w:rFonts w:ascii="Palatino Linotype" w:hAnsi="Palatino Linotype"/>
          <w:color w:val="1F497D"/>
          <w:sz w:val="18"/>
          <w:szCs w:val="18"/>
        </w:rPr>
        <w:t>(Fax) 401-222-3605</w:t>
      </w:r>
    </w:p>
    <w:p w:rsidR="0086702E" w:rsidRDefault="0027735C" w:rsidP="0086702E">
      <w:hyperlink r:id="rId6" w:history="1">
        <w:r w:rsidR="0086702E">
          <w:rPr>
            <w:rStyle w:val="Hyperlink"/>
            <w:rFonts w:ascii="Palatino Linotype" w:hAnsi="Palatino Linotype"/>
            <w:sz w:val="18"/>
            <w:szCs w:val="18"/>
          </w:rPr>
          <w:t>peter.mclaren@ride.ri.gov</w:t>
        </w:r>
      </w:hyperlink>
      <w:r w:rsidR="0086702E">
        <w:rPr>
          <w:rFonts w:ascii="Palatino Linotype" w:hAnsi="Palatino Linotype"/>
          <w:color w:val="1F497D"/>
          <w:sz w:val="18"/>
          <w:szCs w:val="18"/>
        </w:rPr>
        <w:t xml:space="preserve">  </w:t>
      </w:r>
    </w:p>
    <w:p w:rsidR="0086702E" w:rsidRDefault="0027735C" w:rsidP="0086702E">
      <w:hyperlink r:id="rId7" w:history="1">
        <w:r w:rsidR="0086702E">
          <w:rPr>
            <w:rStyle w:val="Hyperlink"/>
            <w:rFonts w:ascii="Palatino Linotype" w:hAnsi="Palatino Linotype"/>
            <w:sz w:val="18"/>
            <w:szCs w:val="18"/>
          </w:rPr>
          <w:t>http://www.csss-science.org/</w:t>
        </w:r>
      </w:hyperlink>
      <w:r w:rsidR="0086702E">
        <w:rPr>
          <w:rFonts w:ascii="Palatino Linotype" w:hAnsi="Palatino Linotype"/>
          <w:color w:val="1F497D"/>
          <w:sz w:val="18"/>
          <w:szCs w:val="18"/>
        </w:rPr>
        <w:t xml:space="preserve"> </w:t>
      </w:r>
    </w:p>
    <w:p w:rsidR="0086702E" w:rsidRDefault="0086702E" w:rsidP="0086702E">
      <w:pPr>
        <w:rPr>
          <w:b/>
        </w:rPr>
      </w:pPr>
    </w:p>
    <w:p w:rsidR="0086702E" w:rsidRDefault="0086702E" w:rsidP="0086702E">
      <w:pPr>
        <w:rPr>
          <w:b/>
        </w:rPr>
      </w:pPr>
    </w:p>
    <w:p w:rsidR="0086702E" w:rsidRDefault="0086702E" w:rsidP="0086702E">
      <w:r>
        <w:t xml:space="preserve">Of course there is the old (like me!) unit helpful to chemists, the </w:t>
      </w:r>
      <w:proofErr w:type="spellStart"/>
      <w:r>
        <w:t>Ångstrom</w:t>
      </w:r>
      <w:proofErr w:type="spellEnd"/>
      <w:r>
        <w:t>:</w:t>
      </w:r>
    </w:p>
    <w:p w:rsidR="0086702E" w:rsidRDefault="0086702E" w:rsidP="0086702E"/>
    <w:p w:rsidR="0086702E" w:rsidRDefault="0086702E" w:rsidP="0086702E">
      <w:r>
        <w:t>10^-10 m = 1 Å (</w:t>
      </w:r>
      <w:proofErr w:type="spellStart"/>
      <w:r>
        <w:t>ångstrom</w:t>
      </w:r>
      <w:proofErr w:type="spellEnd"/>
      <w:r>
        <w:t>)</w:t>
      </w:r>
    </w:p>
    <w:p w:rsidR="0086702E" w:rsidRDefault="0086702E" w:rsidP="0086702E"/>
    <w:p w:rsidR="0086702E" w:rsidRDefault="0086702E" w:rsidP="0086702E">
      <w:r>
        <w:t xml:space="preserve">Since bond lengths are on the order of one </w:t>
      </w:r>
      <w:proofErr w:type="spellStart"/>
      <w:r>
        <w:t>Ångstrom</w:t>
      </w:r>
      <w:proofErr w:type="spellEnd"/>
      <w:r>
        <w:t>. </w:t>
      </w:r>
    </w:p>
    <w:p w:rsidR="0086702E" w:rsidRDefault="0086702E" w:rsidP="0086702E"/>
    <w:p w:rsidR="0086702E" w:rsidRDefault="0086702E" w:rsidP="0086702E">
      <w:pPr>
        <w:rPr>
          <w:b/>
        </w:rPr>
      </w:pPr>
      <w:r>
        <w:t>Bob Drake</w:t>
      </w:r>
      <w:r>
        <w:br/>
      </w:r>
    </w:p>
    <w:p w:rsidR="0086702E" w:rsidRDefault="0086702E" w:rsidP="0086702E">
      <w:pPr>
        <w:rPr>
          <w:b/>
        </w:rPr>
      </w:pPr>
    </w:p>
    <w:p w:rsidR="0086702E" w:rsidRDefault="0086702E" w:rsidP="0086702E">
      <w:pPr>
        <w:pStyle w:val="NormalWeb"/>
      </w:pPr>
      <w:r>
        <w:lastRenderedPageBreak/>
        <w:t>I recommend googling "Powers of Ten" to find video or simulations to link the metric prefixes to the sizes of actual things.</w:t>
      </w:r>
    </w:p>
    <w:p w:rsidR="0086702E" w:rsidRDefault="0086702E" w:rsidP="0086702E">
      <w:pPr>
        <w:pStyle w:val="NormalWeb"/>
      </w:pPr>
      <w:r>
        <w:t xml:space="preserve">-Jenn </w:t>
      </w:r>
      <w:proofErr w:type="spellStart"/>
      <w:r>
        <w:t>Broekman</w:t>
      </w:r>
      <w:proofErr w:type="spellEnd"/>
    </w:p>
    <w:p w:rsidR="0086702E" w:rsidRDefault="0086702E" w:rsidP="0086702E">
      <w:pPr>
        <w:rPr>
          <w:b/>
        </w:rPr>
      </w:pPr>
    </w:p>
    <w:p w:rsidR="0086702E" w:rsidRDefault="0086702E" w:rsidP="0086702E">
      <w:pPr>
        <w:rPr>
          <w:b/>
        </w:rPr>
      </w:pPr>
    </w:p>
    <w:p w:rsidR="0086702E" w:rsidRDefault="0086702E" w:rsidP="0086702E">
      <w:pPr>
        <w:spacing w:after="240"/>
      </w:pPr>
      <w:bookmarkStart w:id="1" w:name="table5"/>
      <w:r>
        <w:t xml:space="preserve">Tableau 5. </w:t>
      </w:r>
      <w:proofErr w:type="spellStart"/>
      <w:r>
        <w:t>Préfixes</w:t>
      </w:r>
      <w:proofErr w:type="spellEnd"/>
      <w:r>
        <w:t xml:space="preserve"> SI</w:t>
      </w:r>
      <w:bookmarkEnd w:id="1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599"/>
        <w:gridCol w:w="1170"/>
        <w:gridCol w:w="1862"/>
        <w:gridCol w:w="105"/>
        <w:gridCol w:w="1584"/>
        <w:gridCol w:w="1253"/>
        <w:gridCol w:w="1877"/>
      </w:tblGrid>
      <w:tr w:rsidR="0086702E" w:rsidTr="0086702E">
        <w:trPr>
          <w:trHeight w:val="15"/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Pr>
              <w:spacing w:line="15" w:lineRule="atLeast"/>
            </w:pPr>
            <w:r>
              <w:rPr>
                <w:noProof/>
              </w:rPr>
              <w:drawing>
                <wp:inline distT="0" distB="0" distL="0" distR="0">
                  <wp:extent cx="19050" cy="9525"/>
                  <wp:effectExtent l="19050" t="0" r="0" b="0"/>
                  <wp:docPr id="1" name="Picture 1" descr="http://www.bipm.org/utils/common/img/trait-bleu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pm.org/utils/common/img/trait-bleu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02E" w:rsidTr="00867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Facteur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Nom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Symbole</w:t>
            </w:r>
            <w:proofErr w:type="spellEnd"/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Facteur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Nom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Symbole</w:t>
            </w:r>
            <w:proofErr w:type="spellEnd"/>
          </w:p>
        </w:tc>
      </w:tr>
      <w:tr w:rsidR="0086702E" w:rsidTr="0086702E">
        <w:trPr>
          <w:trHeight w:val="15"/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Pr>
              <w:spacing w:line="15" w:lineRule="atLeast"/>
            </w:pPr>
            <w:r>
              <w:rPr>
                <w:noProof/>
              </w:rPr>
              <w:drawing>
                <wp:inline distT="0" distB="0" distL="0" distR="0">
                  <wp:extent cx="19050" cy="9525"/>
                  <wp:effectExtent l="19050" t="0" r="0" b="0"/>
                  <wp:docPr id="2" name="Picture 2" descr="http://www.bipm.org/utils/common/img/trait-bleu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pm.org/utils/common/img/trait-bleu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02E" w:rsidTr="0086702E">
        <w:trPr>
          <w:tblCellSpacing w:w="15" w:type="dxa"/>
        </w:trPr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déca</w:t>
            </w:r>
            <w:proofErr w:type="spellEnd"/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da</w:t>
            </w:r>
          </w:p>
        </w:tc>
        <w:tc>
          <w:tcPr>
            <w:tcW w:w="0" w:type="auto"/>
            <w:vMerge w:val="restart"/>
            <w:shd w:val="clear" w:color="auto" w:fill="F2F5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–1</w:t>
            </w: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déci</w:t>
            </w:r>
            <w:proofErr w:type="spellEnd"/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d</w:t>
            </w:r>
          </w:p>
        </w:tc>
      </w:tr>
      <w:tr w:rsidR="0086702E" w:rsidTr="00867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hecto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h</w:t>
            </w:r>
          </w:p>
        </w:tc>
        <w:tc>
          <w:tcPr>
            <w:tcW w:w="0" w:type="auto"/>
            <w:vMerge/>
            <w:vAlign w:val="center"/>
            <w:hideMark/>
          </w:tcPr>
          <w:p w:rsidR="0086702E" w:rsidRDefault="0086702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–2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centi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c</w:t>
            </w:r>
          </w:p>
        </w:tc>
      </w:tr>
      <w:tr w:rsidR="0086702E" w:rsidTr="0086702E">
        <w:trPr>
          <w:tblCellSpacing w:w="15" w:type="dxa"/>
        </w:trPr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kilo</w:t>
            </w: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k</w:t>
            </w:r>
          </w:p>
        </w:tc>
        <w:tc>
          <w:tcPr>
            <w:tcW w:w="0" w:type="auto"/>
            <w:vMerge/>
            <w:vAlign w:val="center"/>
            <w:hideMark/>
          </w:tcPr>
          <w:p w:rsidR="0086702E" w:rsidRDefault="0086702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–3</w:t>
            </w: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milli</w:t>
            </w:r>
            <w:proofErr w:type="spellEnd"/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m</w:t>
            </w:r>
          </w:p>
        </w:tc>
      </w:tr>
      <w:tr w:rsidR="0086702E" w:rsidTr="00867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méga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M</w:t>
            </w:r>
          </w:p>
        </w:tc>
        <w:tc>
          <w:tcPr>
            <w:tcW w:w="0" w:type="auto"/>
            <w:vMerge/>
            <w:vAlign w:val="center"/>
            <w:hideMark/>
          </w:tcPr>
          <w:p w:rsidR="0086702E" w:rsidRDefault="0086702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–6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micro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µ</w:t>
            </w:r>
          </w:p>
        </w:tc>
      </w:tr>
      <w:tr w:rsidR="0086702E" w:rsidTr="0086702E">
        <w:trPr>
          <w:tblCellSpacing w:w="15" w:type="dxa"/>
        </w:trPr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giga</w:t>
            </w:r>
            <w:proofErr w:type="spellEnd"/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G</w:t>
            </w:r>
          </w:p>
        </w:tc>
        <w:tc>
          <w:tcPr>
            <w:tcW w:w="0" w:type="auto"/>
            <w:vMerge/>
            <w:vAlign w:val="center"/>
            <w:hideMark/>
          </w:tcPr>
          <w:p w:rsidR="0086702E" w:rsidRDefault="0086702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–9</w:t>
            </w: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nano</w:t>
            </w:r>
            <w:proofErr w:type="spellEnd"/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n</w:t>
            </w:r>
          </w:p>
        </w:tc>
      </w:tr>
      <w:tr w:rsidR="0086702E" w:rsidTr="00867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téra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T</w:t>
            </w:r>
          </w:p>
        </w:tc>
        <w:tc>
          <w:tcPr>
            <w:tcW w:w="0" w:type="auto"/>
            <w:vMerge/>
            <w:vAlign w:val="center"/>
            <w:hideMark/>
          </w:tcPr>
          <w:p w:rsidR="0086702E" w:rsidRDefault="0086702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–12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pico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p</w:t>
            </w:r>
          </w:p>
        </w:tc>
      </w:tr>
      <w:tr w:rsidR="0086702E" w:rsidTr="0086702E">
        <w:trPr>
          <w:tblCellSpacing w:w="15" w:type="dxa"/>
        </w:trPr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15</w:t>
            </w: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péta</w:t>
            </w:r>
            <w:proofErr w:type="spellEnd"/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P</w:t>
            </w:r>
          </w:p>
        </w:tc>
        <w:tc>
          <w:tcPr>
            <w:tcW w:w="0" w:type="auto"/>
            <w:vMerge/>
            <w:vAlign w:val="center"/>
            <w:hideMark/>
          </w:tcPr>
          <w:p w:rsidR="0086702E" w:rsidRDefault="0086702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–15</w:t>
            </w: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femto</w:t>
            </w:r>
            <w:proofErr w:type="spellEnd"/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f</w:t>
            </w:r>
          </w:p>
        </w:tc>
      </w:tr>
      <w:tr w:rsidR="0086702E" w:rsidTr="00867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exa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E</w:t>
            </w:r>
          </w:p>
        </w:tc>
        <w:tc>
          <w:tcPr>
            <w:tcW w:w="0" w:type="auto"/>
            <w:vMerge/>
            <w:vAlign w:val="center"/>
            <w:hideMark/>
          </w:tcPr>
          <w:p w:rsidR="0086702E" w:rsidRDefault="0086702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–18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atto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a</w:t>
            </w:r>
          </w:p>
        </w:tc>
      </w:tr>
      <w:tr w:rsidR="0086702E" w:rsidTr="0086702E">
        <w:trPr>
          <w:tblCellSpacing w:w="15" w:type="dxa"/>
        </w:trPr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21</w:t>
            </w: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zetta</w:t>
            </w:r>
            <w:proofErr w:type="spellEnd"/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Z</w:t>
            </w:r>
          </w:p>
        </w:tc>
        <w:tc>
          <w:tcPr>
            <w:tcW w:w="0" w:type="auto"/>
            <w:vMerge/>
            <w:vAlign w:val="center"/>
            <w:hideMark/>
          </w:tcPr>
          <w:p w:rsidR="0086702E" w:rsidRDefault="0086702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–21</w:t>
            </w:r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zepto</w:t>
            </w:r>
            <w:proofErr w:type="spellEnd"/>
          </w:p>
        </w:tc>
        <w:tc>
          <w:tcPr>
            <w:tcW w:w="0" w:type="auto"/>
            <w:shd w:val="clear" w:color="auto" w:fill="DBE3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z</w:t>
            </w:r>
          </w:p>
        </w:tc>
      </w:tr>
      <w:tr w:rsidR="0086702E" w:rsidTr="008670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yotta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Y</w:t>
            </w:r>
          </w:p>
        </w:tc>
        <w:tc>
          <w:tcPr>
            <w:tcW w:w="0" w:type="auto"/>
            <w:vMerge/>
            <w:vAlign w:val="center"/>
            <w:hideMark/>
          </w:tcPr>
          <w:p w:rsidR="0086702E" w:rsidRDefault="0086702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10</w:t>
            </w:r>
            <w:r>
              <w:rPr>
                <w:vertAlign w:val="superscript"/>
              </w:rPr>
              <w:t>–24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proofErr w:type="spellStart"/>
            <w:r>
              <w:t>yocto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2E" w:rsidRDefault="0086702E">
            <w:r>
              <w:t>y</w:t>
            </w:r>
          </w:p>
        </w:tc>
      </w:tr>
    </w:tbl>
    <w:p w:rsidR="0086702E" w:rsidRDefault="0086702E" w:rsidP="0086702E">
      <w:pPr>
        <w:spacing w:after="240"/>
      </w:pPr>
    </w:p>
    <w:p w:rsidR="0086702E" w:rsidRDefault="0086702E" w:rsidP="0086702E">
      <w:pPr>
        <w:rPr>
          <w:b/>
        </w:rPr>
      </w:pPr>
      <w:r w:rsidRPr="0086702E">
        <w:rPr>
          <w:b/>
        </w:rPr>
        <w:t>Edward Werner Cook [ewcook@caprilands.org]</w:t>
      </w:r>
    </w:p>
    <w:p w:rsidR="0086702E" w:rsidRDefault="0086702E" w:rsidP="0086702E">
      <w:pPr>
        <w:rPr>
          <w:b/>
        </w:rPr>
      </w:pPr>
    </w:p>
    <w:p w:rsidR="0086702E" w:rsidRDefault="0086702E" w:rsidP="0086702E">
      <w:pPr>
        <w:rPr>
          <w:b/>
        </w:rPr>
      </w:pPr>
    </w:p>
    <w:p w:rsidR="0086702E" w:rsidRDefault="0086702E" w:rsidP="0086702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Here’s a great link for powers of ten, if you think the old video is a bit outdated (I know my kids do):</w:t>
      </w:r>
    </w:p>
    <w:p w:rsidR="0086702E" w:rsidRDefault="0086702E" w:rsidP="0086702E">
      <w:pPr>
        <w:rPr>
          <w:rFonts w:ascii="Calibri" w:hAnsi="Calibri"/>
          <w:color w:val="1F497D"/>
          <w:sz w:val="22"/>
          <w:szCs w:val="22"/>
        </w:rPr>
      </w:pPr>
    </w:p>
    <w:p w:rsidR="0086702E" w:rsidRDefault="0027735C" w:rsidP="0086702E">
      <w:pPr>
        <w:rPr>
          <w:rFonts w:ascii="Calibri" w:hAnsi="Calibri"/>
          <w:color w:val="1F497D"/>
          <w:sz w:val="22"/>
          <w:szCs w:val="22"/>
        </w:rPr>
      </w:pPr>
      <w:hyperlink r:id="rId9" w:history="1">
        <w:r w:rsidR="0086702E">
          <w:rPr>
            <w:rStyle w:val="Hyperlink"/>
            <w:rFonts w:ascii="Calibri" w:hAnsi="Calibri"/>
            <w:sz w:val="22"/>
            <w:szCs w:val="22"/>
          </w:rPr>
          <w:t>http://htwins.net/scale2/</w:t>
        </w:r>
      </w:hyperlink>
    </w:p>
    <w:p w:rsidR="0086702E" w:rsidRDefault="0086702E" w:rsidP="0086702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Scale of the Universe 2</w:t>
      </w:r>
    </w:p>
    <w:p w:rsidR="0086702E" w:rsidRDefault="0086702E" w:rsidP="0086702E">
      <w:pPr>
        <w:rPr>
          <w:rFonts w:ascii="Calibri" w:hAnsi="Calibri"/>
          <w:color w:val="1F497D"/>
          <w:sz w:val="22"/>
          <w:szCs w:val="22"/>
        </w:rPr>
      </w:pPr>
    </w:p>
    <w:p w:rsidR="0086702E" w:rsidRDefault="0086702E" w:rsidP="0086702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It’s great on a </w:t>
      </w:r>
      <w:proofErr w:type="spellStart"/>
      <w:r>
        <w:rPr>
          <w:rFonts w:ascii="Calibri" w:hAnsi="Calibri"/>
          <w:color w:val="1F497D"/>
          <w:sz w:val="22"/>
          <w:szCs w:val="22"/>
        </w:rPr>
        <w:t>SMARTBoard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too. </w:t>
      </w:r>
    </w:p>
    <w:p w:rsidR="0086702E" w:rsidRDefault="0086702E" w:rsidP="0086702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Cheers</w:t>
      </w:r>
    </w:p>
    <w:p w:rsidR="0086702E" w:rsidRDefault="0086702E" w:rsidP="0086702E">
      <w:pPr>
        <w:rPr>
          <w:rFonts w:ascii="Calibri" w:hAnsi="Calibri"/>
          <w:color w:val="1F497D"/>
          <w:sz w:val="22"/>
          <w:szCs w:val="22"/>
        </w:rPr>
      </w:pPr>
    </w:p>
    <w:p w:rsidR="0086702E" w:rsidRDefault="0086702E" w:rsidP="0086702E">
      <w:pPr>
        <w:rPr>
          <w:rFonts w:ascii="Copperplate Gothic Light" w:hAnsi="Copperplate Gothic Light"/>
          <w:b/>
          <w:bCs/>
          <w:color w:val="008000"/>
        </w:rPr>
      </w:pPr>
      <w:r>
        <w:rPr>
          <w:rFonts w:ascii="Copperplate Gothic Light" w:hAnsi="Copperplate Gothic Light"/>
          <w:b/>
          <w:bCs/>
          <w:color w:val="008000"/>
          <w:sz w:val="22"/>
          <w:szCs w:val="22"/>
        </w:rPr>
        <w:t xml:space="preserve">Chris </w:t>
      </w:r>
      <w:proofErr w:type="spellStart"/>
      <w:r>
        <w:rPr>
          <w:rFonts w:ascii="Copperplate Gothic Light" w:hAnsi="Copperplate Gothic Light"/>
          <w:b/>
          <w:bCs/>
          <w:color w:val="008000"/>
          <w:sz w:val="22"/>
          <w:szCs w:val="22"/>
        </w:rPr>
        <w:t>Osters</w:t>
      </w:r>
      <w:proofErr w:type="spellEnd"/>
    </w:p>
    <w:p w:rsidR="0086702E" w:rsidRDefault="0086702E" w:rsidP="0086702E">
      <w:pPr>
        <w:rPr>
          <w:rFonts w:ascii="Copperplate Gothic Light" w:hAnsi="Copperplate Gothic Light"/>
          <w:color w:val="008000"/>
          <w:sz w:val="22"/>
          <w:szCs w:val="22"/>
        </w:rPr>
      </w:pPr>
      <w:r>
        <w:rPr>
          <w:rFonts w:ascii="Copperplate Gothic Light" w:hAnsi="Copperplate Gothic Light"/>
          <w:color w:val="008000"/>
          <w:sz w:val="22"/>
          <w:szCs w:val="22"/>
        </w:rPr>
        <w:t>Physics Teacher, Room 101</w:t>
      </w:r>
    </w:p>
    <w:p w:rsidR="0086702E" w:rsidRDefault="0086702E" w:rsidP="0086702E">
      <w:pPr>
        <w:rPr>
          <w:rFonts w:ascii="Copperplate Gothic Light" w:hAnsi="Copperplate Gothic Light"/>
          <w:color w:val="008000"/>
          <w:sz w:val="22"/>
          <w:szCs w:val="22"/>
        </w:rPr>
      </w:pPr>
      <w:r>
        <w:rPr>
          <w:rFonts w:ascii="Copperplate Gothic Light" w:hAnsi="Copperplate Gothic Light"/>
          <w:color w:val="008000"/>
          <w:sz w:val="22"/>
          <w:szCs w:val="22"/>
        </w:rPr>
        <w:t>Ballard High School</w:t>
      </w:r>
    </w:p>
    <w:p w:rsidR="0086702E" w:rsidRDefault="0027735C" w:rsidP="0086702E">
      <w:pPr>
        <w:rPr>
          <w:rFonts w:ascii="Copperplate Gothic Light" w:hAnsi="Copperplate Gothic Light"/>
          <w:color w:val="008000"/>
          <w:sz w:val="22"/>
          <w:szCs w:val="22"/>
        </w:rPr>
      </w:pPr>
      <w:hyperlink r:id="rId10" w:history="1">
        <w:r w:rsidR="0086702E">
          <w:rPr>
            <w:rStyle w:val="Hyperlink"/>
            <w:rFonts w:ascii="Copperplate Gothic Light" w:hAnsi="Copperplate Gothic Light"/>
            <w:color w:val="008000"/>
            <w:sz w:val="22"/>
            <w:szCs w:val="22"/>
          </w:rPr>
          <w:t>christopher.osters@jefferson.kyschools.us</w:t>
        </w:r>
      </w:hyperlink>
    </w:p>
    <w:p w:rsidR="0086702E" w:rsidRDefault="0086702E" w:rsidP="0086702E">
      <w:pPr>
        <w:rPr>
          <w:rFonts w:ascii="Copperplate Gothic Light" w:hAnsi="Copperplate Gothic Light"/>
          <w:color w:val="008000"/>
          <w:sz w:val="22"/>
          <w:szCs w:val="22"/>
        </w:rPr>
      </w:pPr>
      <w:r>
        <w:rPr>
          <w:rFonts w:ascii="Copperplate Gothic Light" w:hAnsi="Copperplate Gothic Light"/>
          <w:color w:val="008000"/>
          <w:sz w:val="22"/>
          <w:szCs w:val="22"/>
        </w:rPr>
        <w:t xml:space="preserve">Website: </w:t>
      </w:r>
      <w:hyperlink r:id="rId11" w:history="1">
        <w:r>
          <w:rPr>
            <w:rStyle w:val="Hyperlink"/>
            <w:rFonts w:ascii="Copperplate Gothic Light" w:hAnsi="Copperplate Gothic Light"/>
            <w:color w:val="008000"/>
            <w:sz w:val="22"/>
            <w:szCs w:val="22"/>
          </w:rPr>
          <w:t>http://osters.weebly.com</w:t>
        </w:r>
      </w:hyperlink>
    </w:p>
    <w:p w:rsidR="0086702E" w:rsidRDefault="0086702E" w:rsidP="0086702E">
      <w:pPr>
        <w:rPr>
          <w:b/>
        </w:rPr>
      </w:pPr>
    </w:p>
    <w:p w:rsidR="0086702E" w:rsidRDefault="0086702E" w:rsidP="0086702E">
      <w:pPr>
        <w:rPr>
          <w:b/>
        </w:rPr>
      </w:pPr>
    </w:p>
    <w:p w:rsidR="0086702E" w:rsidRDefault="0086702E" w:rsidP="0086702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There is a game available on iTunes called Zombie Slasher which teaches the metric prefixes in a fun way.</w:t>
      </w:r>
    </w:p>
    <w:p w:rsidR="0086702E" w:rsidRDefault="0086702E" w:rsidP="0086702E">
      <w:pPr>
        <w:rPr>
          <w:b/>
        </w:rPr>
      </w:pPr>
      <w:r w:rsidRPr="0086702E">
        <w:rPr>
          <w:b/>
        </w:rPr>
        <w:t xml:space="preserve">L. </w:t>
      </w:r>
      <w:proofErr w:type="spellStart"/>
      <w:r w:rsidRPr="0086702E">
        <w:rPr>
          <w:b/>
        </w:rPr>
        <w:t>Tull</w:t>
      </w:r>
      <w:proofErr w:type="spellEnd"/>
      <w:r w:rsidRPr="0086702E">
        <w:rPr>
          <w:b/>
        </w:rPr>
        <w:t xml:space="preserve"> [lptull@earthlink.net]</w:t>
      </w:r>
    </w:p>
    <w:p w:rsidR="0086702E" w:rsidRDefault="0086702E" w:rsidP="0086702E">
      <w:pPr>
        <w:rPr>
          <w:b/>
        </w:rPr>
      </w:pPr>
    </w:p>
    <w:p w:rsidR="0086702E" w:rsidRDefault="0086702E" w:rsidP="0086702E">
      <w:pPr>
        <w:rPr>
          <w:b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lastRenderedPageBreak/>
        <w:t>Just a little metric humor for you.</w:t>
      </w:r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>10^12 microphones = 1 megaphone</w:t>
      </w:r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 xml:space="preserve">2000 Mockingbirds = 2 </w:t>
      </w:r>
      <w:proofErr w:type="spellStart"/>
      <w:r>
        <w:rPr>
          <w:rFonts w:eastAsia="Times New Roman"/>
        </w:rPr>
        <w:t>kilomockingbirds</w:t>
      </w:r>
      <w:proofErr w:type="spellEnd"/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 xml:space="preserve">10^21 </w:t>
      </w:r>
      <w:proofErr w:type="spellStart"/>
      <w:r>
        <w:rPr>
          <w:rFonts w:eastAsia="Times New Roman"/>
        </w:rPr>
        <w:t>picolos</w:t>
      </w:r>
      <w:proofErr w:type="spellEnd"/>
      <w:r>
        <w:rPr>
          <w:rFonts w:eastAsia="Times New Roman"/>
        </w:rPr>
        <w:t xml:space="preserve"> = 1 gigolo</w:t>
      </w:r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>10^12 pins = 1 terrapin</w:t>
      </w:r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 xml:space="preserve">10 cards = 1 </w:t>
      </w:r>
      <w:proofErr w:type="spellStart"/>
      <w:r>
        <w:rPr>
          <w:rFonts w:eastAsia="Times New Roman"/>
        </w:rPr>
        <w:t>decacards</w:t>
      </w:r>
      <w:proofErr w:type="spellEnd"/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 xml:space="preserve">10 halls with boughs of holly = 1 </w:t>
      </w:r>
      <w:proofErr w:type="spellStart"/>
      <w:r>
        <w:rPr>
          <w:rFonts w:eastAsia="Times New Roman"/>
        </w:rPr>
        <w:t>deca</w:t>
      </w:r>
      <w:proofErr w:type="spellEnd"/>
      <w:r>
        <w:rPr>
          <w:rFonts w:eastAsia="Times New Roman"/>
        </w:rPr>
        <w:t xml:space="preserve"> halls with balls of holly</w:t>
      </w:r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 xml:space="preserve">10^-12 boos = 1 </w:t>
      </w:r>
      <w:proofErr w:type="spellStart"/>
      <w:r>
        <w:rPr>
          <w:rFonts w:eastAsia="Times New Roman"/>
        </w:rPr>
        <w:t>picaboo</w:t>
      </w:r>
      <w:proofErr w:type="spellEnd"/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>10^9 antics - gigantic</w:t>
      </w:r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 xml:space="preserve">10^15 coats = 1 </w:t>
      </w:r>
      <w:proofErr w:type="spellStart"/>
      <w:r>
        <w:rPr>
          <w:rFonts w:eastAsia="Times New Roman"/>
        </w:rPr>
        <w:t>petacoat</w:t>
      </w:r>
      <w:proofErr w:type="spellEnd"/>
    </w:p>
    <w:p w:rsidR="0086702E" w:rsidRDefault="0086702E" w:rsidP="0086702E">
      <w:pPr>
        <w:rPr>
          <w:rFonts w:eastAsia="Times New Roman"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>Rob</w:t>
      </w:r>
    </w:p>
    <w:p w:rsidR="0086702E" w:rsidRDefault="0086702E" w:rsidP="0086702E">
      <w:pPr>
        <w:rPr>
          <w:b/>
        </w:rPr>
      </w:pPr>
      <w:r w:rsidRPr="0086702E">
        <w:rPr>
          <w:b/>
        </w:rPr>
        <w:t>Robert Sparks [rsparks@noao.edu]</w:t>
      </w:r>
    </w:p>
    <w:p w:rsidR="0086702E" w:rsidRDefault="0086702E" w:rsidP="0086702E">
      <w:pPr>
        <w:rPr>
          <w:b/>
        </w:rPr>
      </w:pPr>
    </w:p>
    <w:p w:rsidR="0086702E" w:rsidRDefault="0086702E" w:rsidP="0086702E">
      <w:pPr>
        <w:rPr>
          <w:b/>
        </w:rPr>
      </w:pPr>
    </w:p>
    <w:p w:rsidR="0086702E" w:rsidRDefault="0086702E" w:rsidP="0086702E">
      <w:pPr>
        <w:rPr>
          <w:rFonts w:eastAsia="Times New Roman"/>
        </w:rPr>
      </w:pPr>
      <w:r>
        <w:rPr>
          <w:rFonts w:eastAsia="Times New Roman"/>
        </w:rPr>
        <w:t>More . . .</w:t>
      </w:r>
    </w:p>
    <w:p w:rsidR="0086702E" w:rsidRDefault="0027735C" w:rsidP="0086702E">
      <w:pPr>
        <w:rPr>
          <w:rFonts w:eastAsia="Times New Roman"/>
        </w:rPr>
      </w:pPr>
      <w:hyperlink r:id="rId12" w:history="1">
        <w:r w:rsidR="0086702E">
          <w:rPr>
            <w:rStyle w:val="Hyperlink"/>
            <w:rFonts w:eastAsia="Times New Roman"/>
          </w:rPr>
          <w:t>http://www.primepuzzle.com/leesnewest/funny-metric-chart.html</w:t>
        </w:r>
      </w:hyperlink>
    </w:p>
    <w:p w:rsidR="0086702E" w:rsidRDefault="0086702E" w:rsidP="0086702E">
      <w:pPr>
        <w:rPr>
          <w:b/>
        </w:rPr>
      </w:pPr>
      <w:r w:rsidRPr="0086702E">
        <w:rPr>
          <w:b/>
        </w:rPr>
        <w:t xml:space="preserve">Peter </w:t>
      </w:r>
      <w:proofErr w:type="spellStart"/>
      <w:r w:rsidRPr="0086702E">
        <w:rPr>
          <w:b/>
        </w:rPr>
        <w:t>Tordo</w:t>
      </w:r>
      <w:proofErr w:type="spellEnd"/>
      <w:r w:rsidRPr="0086702E">
        <w:rPr>
          <w:b/>
        </w:rPr>
        <w:t xml:space="preserve"> [ptordo@gmail.com]</w:t>
      </w:r>
    </w:p>
    <w:p w:rsidR="0086702E" w:rsidRDefault="0086702E" w:rsidP="0086702E">
      <w:pPr>
        <w:rPr>
          <w:b/>
        </w:rPr>
      </w:pPr>
    </w:p>
    <w:p w:rsidR="00064C6E" w:rsidRDefault="00064C6E" w:rsidP="0086702E">
      <w:pPr>
        <w:rPr>
          <w:rFonts w:ascii="Calibri" w:eastAsia="Times New Roman" w:hAnsi="Calibri"/>
          <w:color w:val="000000"/>
        </w:rPr>
      </w:pPr>
    </w:p>
    <w:p w:rsidR="0086702E" w:rsidRDefault="0086702E" w:rsidP="0086702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Do a search on “SI prefixes</w:t>
      </w:r>
      <w:proofErr w:type="gramStart"/>
      <w:r>
        <w:rPr>
          <w:rFonts w:ascii="Calibri" w:eastAsia="Times New Roman" w:hAnsi="Calibri"/>
          <w:color w:val="000000"/>
        </w:rPr>
        <w:t>” .</w:t>
      </w:r>
      <w:proofErr w:type="gramEnd"/>
    </w:p>
    <w:p w:rsidR="0086702E" w:rsidRDefault="0086702E" w:rsidP="0086702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There is also “prefixes for binary multiples” adopted by the IEC.</w:t>
      </w:r>
    </w:p>
    <w:p w:rsidR="0086702E" w:rsidRDefault="0086702E" w:rsidP="0086702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Bob Gannon</w:t>
      </w:r>
    </w:p>
    <w:p w:rsidR="0086702E" w:rsidRDefault="0086702E" w:rsidP="0086702E">
      <w:pPr>
        <w:rPr>
          <w:b/>
        </w:rPr>
      </w:pPr>
    </w:p>
    <w:p w:rsidR="0086702E" w:rsidRDefault="0086702E" w:rsidP="0086702E">
      <w:pPr>
        <w:rPr>
          <w:b/>
        </w:rPr>
      </w:pPr>
    </w:p>
    <w:p w:rsidR="00064C6E" w:rsidRDefault="00064C6E" w:rsidP="00064C6E"/>
    <w:p w:rsidR="00064C6E" w:rsidRDefault="00064C6E" w:rsidP="00064C6E">
      <w:r>
        <w:t>There's a lot to be said for the students knowing the accuracy of measurements -- very important.</w:t>
      </w:r>
    </w:p>
    <w:p w:rsidR="00064C6E" w:rsidRDefault="00064C6E" w:rsidP="00064C6E"/>
    <w:p w:rsidR="00064C6E" w:rsidRDefault="00064C6E" w:rsidP="00064C6E">
      <w:r>
        <w:t xml:space="preserve">But I try to get away from mnemonic aids for the metric prefixes -- I think that the kids should just know them, and not just ending with kilo or </w:t>
      </w:r>
      <w:proofErr w:type="spellStart"/>
      <w:r>
        <w:t>milli</w:t>
      </w:r>
      <w:proofErr w:type="spellEnd"/>
      <w:r>
        <w:t xml:space="preserve">.  We're living in an age of nanotechnology. Kids can be deceived if they buy an iPod that stores only 4 Mb of songs instead of </w:t>
      </w:r>
      <w:proofErr w:type="gramStart"/>
      <w:r>
        <w:t>4Gb</w:t>
      </w:r>
      <w:proofErr w:type="gramEnd"/>
      <w:r>
        <w:t>. It's the difference between storing 1 mp3 song and 1000 of them. And disk drives are easily in the 1Tb range now.</w:t>
      </w:r>
    </w:p>
    <w:p w:rsidR="00064C6E" w:rsidRDefault="00064C6E" w:rsidP="00064C6E"/>
    <w:p w:rsidR="00064C6E" w:rsidRDefault="00064C6E" w:rsidP="00064C6E">
      <w:r>
        <w:t>   --- Steve &gt;&gt;&gt;&gt;</w:t>
      </w:r>
    </w:p>
    <w:p w:rsidR="00064C6E" w:rsidRDefault="00064C6E" w:rsidP="00064C6E">
      <w:r>
        <w:t>~~~~~~~~~~~~~~~~~~~~~~~~~~~~~~</w:t>
      </w:r>
    </w:p>
    <w:p w:rsidR="00064C6E" w:rsidRDefault="00064C6E" w:rsidP="00064C6E">
      <w:r>
        <w:t>Steve Cooperman</w:t>
      </w:r>
    </w:p>
    <w:p w:rsidR="00064C6E" w:rsidRDefault="00064C6E" w:rsidP="00064C6E">
      <w:r>
        <w:lastRenderedPageBreak/>
        <w:t>Physics/</w:t>
      </w:r>
      <w:proofErr w:type="spellStart"/>
      <w:r>
        <w:t>Chem</w:t>
      </w:r>
      <w:proofErr w:type="spellEnd"/>
      <w:r>
        <w:t>/Astronomy Teacher</w:t>
      </w:r>
    </w:p>
    <w:p w:rsidR="00064C6E" w:rsidRDefault="00064C6E" w:rsidP="00064C6E">
      <w:r>
        <w:t>Campbell Hall (Episcopal)</w:t>
      </w:r>
    </w:p>
    <w:p w:rsidR="00064C6E" w:rsidRDefault="00064C6E" w:rsidP="00064C6E">
      <w:r>
        <w:t>North Hollywood, CA 91607</w:t>
      </w:r>
    </w:p>
    <w:p w:rsidR="00064C6E" w:rsidRDefault="00064C6E" w:rsidP="00064C6E">
      <w:r>
        <w:t>34.15355°N, 118.3969°W</w:t>
      </w:r>
    </w:p>
    <w:p w:rsidR="00064C6E" w:rsidRDefault="00064C6E" w:rsidP="00064C6E">
      <w:r>
        <w:t>~~~~~~~~~~~~~~~~~~~~~~~~~~~~~~</w:t>
      </w:r>
    </w:p>
    <w:p w:rsidR="00064C6E" w:rsidRDefault="00064C6E" w:rsidP="00064C6E">
      <w:r>
        <w:t>Observatory Lecturer</w:t>
      </w:r>
    </w:p>
    <w:p w:rsidR="00064C6E" w:rsidRDefault="00064C6E" w:rsidP="00064C6E">
      <w:r>
        <w:t>Griffith Observatory</w:t>
      </w:r>
    </w:p>
    <w:p w:rsidR="00064C6E" w:rsidRDefault="00064C6E" w:rsidP="00064C6E">
      <w:r>
        <w:t>Los Angeles, CA  90027</w:t>
      </w:r>
    </w:p>
    <w:p w:rsidR="00064C6E" w:rsidRDefault="00064C6E" w:rsidP="00064C6E">
      <w:r>
        <w:t>34.11803°N, 118.30035°W</w:t>
      </w:r>
    </w:p>
    <w:p w:rsidR="00064C6E" w:rsidRDefault="00064C6E" w:rsidP="00064C6E">
      <w:r>
        <w:t>~~~~~~~~~~~~~~~~~~~~~~~~~~~~~~</w:t>
      </w:r>
    </w:p>
    <w:p w:rsidR="00064C6E" w:rsidRDefault="00064C6E" w:rsidP="00064C6E">
      <w:r>
        <w:t>Occidental College Physics Teachers' Day</w:t>
      </w:r>
    </w:p>
    <w:p w:rsidR="00064C6E" w:rsidRDefault="0027735C" w:rsidP="00064C6E">
      <w:hyperlink r:id="rId13" w:history="1">
        <w:r w:rsidR="00064C6E">
          <w:rPr>
            <w:rStyle w:val="Hyperlink"/>
          </w:rPr>
          <w:t>http://members.dslextreme.com/users/oxyday</w:t>
        </w:r>
      </w:hyperlink>
    </w:p>
    <w:p w:rsidR="00064C6E" w:rsidRDefault="00064C6E" w:rsidP="00064C6E">
      <w:r>
        <w:t>Norris Hall, Mosher 1</w:t>
      </w:r>
    </w:p>
    <w:p w:rsidR="00064C6E" w:rsidRDefault="00064C6E" w:rsidP="00064C6E">
      <w:r>
        <w:t>Los Angeles, CA</w:t>
      </w:r>
    </w:p>
    <w:p w:rsidR="00064C6E" w:rsidRDefault="00064C6E" w:rsidP="00064C6E">
      <w:pPr>
        <w:pBdr>
          <w:bottom w:val="wave" w:sz="6" w:space="1" w:color="auto"/>
        </w:pBdr>
      </w:pPr>
      <w:r>
        <w:t>34.1259°N</w:t>
      </w:r>
      <w:proofErr w:type="gramStart"/>
      <w:r>
        <w:t>,  118.2112</w:t>
      </w:r>
      <w:proofErr w:type="gramEnd"/>
      <w:r>
        <w:t>°W</w:t>
      </w:r>
    </w:p>
    <w:p w:rsidR="00064C6E" w:rsidRDefault="00064C6E" w:rsidP="00064C6E"/>
    <w:p w:rsidR="00064C6E" w:rsidRDefault="00064C6E" w:rsidP="00064C6E"/>
    <w:p w:rsidR="00064C6E" w:rsidRDefault="00064C6E" w:rsidP="00064C6E"/>
    <w:p w:rsidR="00064C6E" w:rsidRPr="00064C6E" w:rsidRDefault="00064C6E" w:rsidP="00064C6E">
      <w:r>
        <w:rPr>
          <w:rFonts w:ascii="Verdana" w:hAnsi="Verdana"/>
          <w:sz w:val="18"/>
          <w:szCs w:val="18"/>
        </w:rPr>
        <w:t>Kurt</w:t>
      </w:r>
      <w:proofErr w:type="gramStart"/>
      <w:r>
        <w:rPr>
          <w:rFonts w:ascii="Verdana" w:hAnsi="Verdana"/>
          <w:sz w:val="18"/>
          <w:szCs w:val="18"/>
        </w:rPr>
        <w:t>,</w:t>
      </w:r>
      <w:proofErr w:type="gramEnd"/>
      <w:r>
        <w:rPr>
          <w:rFonts w:ascii="Verdana" w:hAnsi="Verdana"/>
          <w:sz w:val="18"/>
          <w:szCs w:val="18"/>
        </w:rPr>
        <w:br/>
        <w:t>Attached please find the chart that I use for metric conversions.</w:t>
      </w:r>
      <w:r>
        <w:rPr>
          <w:rFonts w:ascii="Verdana" w:hAnsi="Verdana"/>
          <w:sz w:val="18"/>
          <w:szCs w:val="18"/>
        </w:rPr>
        <w:br/>
        <w:t>I also stress the equipment that we use to measure each of these units</w:t>
      </w:r>
      <w:r>
        <w:rPr>
          <w:rFonts w:ascii="Verdana" w:hAnsi="Verdana"/>
          <w:sz w:val="18"/>
          <w:szCs w:val="18"/>
        </w:rPr>
        <w:br/>
        <w:t>and their degree of accuracy as shown on the summary matrix.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Howard Alpert</w:t>
      </w:r>
      <w:r>
        <w:rPr>
          <w:rFonts w:ascii="Verdana" w:hAnsi="Verdana"/>
          <w:sz w:val="18"/>
          <w:szCs w:val="18"/>
        </w:rPr>
        <w:br/>
        <w:t>Teacher of Physics</w:t>
      </w:r>
      <w:r>
        <w:rPr>
          <w:rFonts w:ascii="Verdana" w:hAnsi="Verdana"/>
          <w:sz w:val="18"/>
          <w:szCs w:val="18"/>
        </w:rPr>
        <w:br/>
        <w:t>Washington Latin Public Charter High School</w:t>
      </w:r>
      <w:r>
        <w:rPr>
          <w:rFonts w:ascii="Verdana" w:hAnsi="Verdana"/>
          <w:sz w:val="18"/>
          <w:szCs w:val="18"/>
        </w:rPr>
        <w:br/>
        <w:t>Washington, DC</w:t>
      </w:r>
    </w:p>
    <w:p w:rsidR="0086702E" w:rsidRDefault="00064C6E" w:rsidP="0086702E">
      <w:pPr>
        <w:rPr>
          <w:b/>
        </w:rPr>
      </w:pPr>
      <w:r>
        <w:rPr>
          <w:b/>
        </w:rPr>
        <w:t>See below</w:t>
      </w:r>
    </w:p>
    <w:p w:rsidR="00064C6E" w:rsidRDefault="00064C6E" w:rsidP="0086702E">
      <w:pPr>
        <w:rPr>
          <w:b/>
        </w:rPr>
      </w:pPr>
    </w:p>
    <w:p w:rsidR="0086702E" w:rsidRDefault="00BE4172" w:rsidP="0086702E">
      <w:pPr>
        <w:rPr>
          <w:b/>
        </w:rPr>
      </w:pPr>
      <w:r w:rsidRPr="00BE4172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-749079</wp:posOffset>
            </wp:positionH>
            <wp:positionV relativeFrom="paragraph">
              <wp:posOffset>-1657</wp:posOffset>
            </wp:positionV>
            <wp:extent cx="7470223" cy="2730280"/>
            <wp:effectExtent l="38100" t="38100" r="37465" b="30480"/>
            <wp:wrapSquare wrapText="bothSides"/>
            <wp:docPr id="3" name="Picture 1" descr="stairchr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tairchrt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2731770"/>
                    </a:xfrm>
                    <a:prstGeom prst="rect">
                      <a:avLst/>
                    </a:prstGeom>
                    <a:noFill/>
                    <a:ln w="28575" cmpd="thinThick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064C6E" w:rsidRDefault="00064C6E" w:rsidP="0086702E"/>
    <w:p w:rsidR="00064C6E" w:rsidRDefault="00064C6E" w:rsidP="0086702E"/>
    <w:tbl>
      <w:tblPr>
        <w:tblStyle w:val="TableGrid"/>
        <w:tblpPr w:leftFromText="180" w:rightFromText="180" w:vertAnchor="text" w:horzAnchor="margin" w:tblpXSpec="center" w:tblpY="-393"/>
        <w:tblW w:w="10594" w:type="dxa"/>
        <w:tblLayout w:type="fixed"/>
        <w:tblLook w:val="01E0" w:firstRow="1" w:lastRow="1" w:firstColumn="1" w:lastColumn="1" w:noHBand="0" w:noVBand="0"/>
      </w:tblPr>
      <w:tblGrid>
        <w:gridCol w:w="1403"/>
        <w:gridCol w:w="1772"/>
        <w:gridCol w:w="927"/>
        <w:gridCol w:w="795"/>
        <w:gridCol w:w="1607"/>
        <w:gridCol w:w="1020"/>
        <w:gridCol w:w="3070"/>
      </w:tblGrid>
      <w:tr w:rsidR="00064C6E" w:rsidRPr="00064C6E" w:rsidTr="00064C6E">
        <w:trPr>
          <w:trHeight w:val="88"/>
        </w:trPr>
        <w:tc>
          <w:tcPr>
            <w:tcW w:w="1403" w:type="dxa"/>
            <w:shd w:val="clear" w:color="auto" w:fill="E6E6E6"/>
          </w:tcPr>
          <w:p w:rsidR="00064C6E" w:rsidRPr="00064C6E" w:rsidRDefault="00064C6E" w:rsidP="00064C6E">
            <w:pPr>
              <w:rPr>
                <w:b/>
                <w:bCs/>
                <w:sz w:val="20"/>
                <w:szCs w:val="20"/>
              </w:rPr>
            </w:pPr>
            <w:r w:rsidRPr="00064C6E">
              <w:rPr>
                <w:b/>
                <w:bCs/>
                <w:sz w:val="20"/>
                <w:szCs w:val="20"/>
              </w:rPr>
              <w:t>Measure-</w:t>
            </w:r>
            <w:proofErr w:type="spellStart"/>
            <w:r w:rsidRPr="00064C6E">
              <w:rPr>
                <w:b/>
                <w:bCs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772" w:type="dxa"/>
            <w:shd w:val="clear" w:color="auto" w:fill="E6E6E6"/>
          </w:tcPr>
          <w:p w:rsidR="00064C6E" w:rsidRPr="00064C6E" w:rsidRDefault="00064C6E" w:rsidP="00064C6E">
            <w:pPr>
              <w:rPr>
                <w:b/>
                <w:bCs/>
                <w:sz w:val="20"/>
                <w:szCs w:val="20"/>
              </w:rPr>
            </w:pPr>
            <w:r w:rsidRPr="00064C6E">
              <w:rPr>
                <w:b/>
                <w:bCs/>
                <w:sz w:val="20"/>
                <w:szCs w:val="20"/>
              </w:rPr>
              <w:t>What you are measuring</w:t>
            </w:r>
          </w:p>
        </w:tc>
        <w:tc>
          <w:tcPr>
            <w:tcW w:w="927" w:type="dxa"/>
            <w:shd w:val="clear" w:color="auto" w:fill="E6E6E6"/>
          </w:tcPr>
          <w:p w:rsidR="00064C6E" w:rsidRPr="00064C6E" w:rsidRDefault="00064C6E" w:rsidP="00064C6E">
            <w:pPr>
              <w:rPr>
                <w:b/>
                <w:bCs/>
                <w:sz w:val="20"/>
                <w:szCs w:val="20"/>
              </w:rPr>
            </w:pPr>
            <w:r w:rsidRPr="00064C6E">
              <w:rPr>
                <w:b/>
                <w:bCs/>
                <w:sz w:val="20"/>
                <w:szCs w:val="20"/>
              </w:rPr>
              <w:t>base unit</w:t>
            </w:r>
          </w:p>
        </w:tc>
        <w:tc>
          <w:tcPr>
            <w:tcW w:w="795" w:type="dxa"/>
            <w:shd w:val="clear" w:color="auto" w:fill="E6E6E6"/>
          </w:tcPr>
          <w:p w:rsidR="00064C6E" w:rsidRPr="00064C6E" w:rsidRDefault="00064C6E" w:rsidP="00064C6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64C6E">
              <w:rPr>
                <w:b/>
                <w:bCs/>
                <w:sz w:val="20"/>
                <w:szCs w:val="20"/>
              </w:rPr>
              <w:t>Abbre-viation</w:t>
            </w:r>
            <w:proofErr w:type="spellEnd"/>
          </w:p>
        </w:tc>
        <w:tc>
          <w:tcPr>
            <w:tcW w:w="1607" w:type="dxa"/>
            <w:shd w:val="clear" w:color="auto" w:fill="E6E6E6"/>
          </w:tcPr>
          <w:p w:rsidR="00064C6E" w:rsidRPr="00064C6E" w:rsidRDefault="00064C6E" w:rsidP="00064C6E">
            <w:pPr>
              <w:rPr>
                <w:b/>
                <w:bCs/>
                <w:sz w:val="20"/>
                <w:szCs w:val="20"/>
              </w:rPr>
            </w:pPr>
            <w:r w:rsidRPr="00064C6E">
              <w:rPr>
                <w:b/>
                <w:bCs/>
                <w:sz w:val="20"/>
                <w:szCs w:val="20"/>
              </w:rPr>
              <w:t>Device used to measure</w:t>
            </w:r>
          </w:p>
        </w:tc>
        <w:tc>
          <w:tcPr>
            <w:tcW w:w="1020" w:type="dxa"/>
            <w:shd w:val="clear" w:color="auto" w:fill="E6E6E6"/>
          </w:tcPr>
          <w:p w:rsidR="00064C6E" w:rsidRPr="00064C6E" w:rsidRDefault="00064C6E" w:rsidP="00064C6E">
            <w:pPr>
              <w:rPr>
                <w:b/>
                <w:bCs/>
                <w:sz w:val="20"/>
                <w:szCs w:val="20"/>
              </w:rPr>
            </w:pPr>
            <w:r w:rsidRPr="00064C6E">
              <w:rPr>
                <w:b/>
                <w:bCs/>
                <w:sz w:val="20"/>
                <w:szCs w:val="20"/>
              </w:rPr>
              <w:t>Accuracy</w:t>
            </w:r>
          </w:p>
        </w:tc>
        <w:tc>
          <w:tcPr>
            <w:tcW w:w="3070" w:type="dxa"/>
            <w:shd w:val="clear" w:color="auto" w:fill="E6E6E6"/>
          </w:tcPr>
          <w:p w:rsidR="00064C6E" w:rsidRPr="00064C6E" w:rsidRDefault="00064C6E" w:rsidP="00064C6E">
            <w:pPr>
              <w:rPr>
                <w:b/>
                <w:bCs/>
                <w:sz w:val="20"/>
                <w:szCs w:val="20"/>
              </w:rPr>
            </w:pPr>
            <w:r w:rsidRPr="00064C6E">
              <w:rPr>
                <w:b/>
                <w:bCs/>
                <w:sz w:val="20"/>
                <w:szCs w:val="20"/>
              </w:rPr>
              <w:t>Helpful hints in using the device</w:t>
            </w:r>
          </w:p>
        </w:tc>
      </w:tr>
      <w:tr w:rsidR="00064C6E" w:rsidRPr="00064C6E" w:rsidTr="00064C6E">
        <w:trPr>
          <w:trHeight w:val="88"/>
        </w:trPr>
        <w:tc>
          <w:tcPr>
            <w:tcW w:w="1403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Length</w:t>
            </w:r>
          </w:p>
        </w:tc>
        <w:tc>
          <w:tcPr>
            <w:tcW w:w="1772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Distance between two points</w:t>
            </w:r>
          </w:p>
        </w:tc>
        <w:tc>
          <w:tcPr>
            <w:tcW w:w="927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Meter</w:t>
            </w:r>
          </w:p>
        </w:tc>
        <w:tc>
          <w:tcPr>
            <w:tcW w:w="795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cm</w:t>
            </w:r>
          </w:p>
        </w:tc>
        <w:tc>
          <w:tcPr>
            <w:tcW w:w="1607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Metric ruler</w:t>
            </w:r>
          </w:p>
        </w:tc>
        <w:tc>
          <w:tcPr>
            <w:tcW w:w="1020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1 mm (0.1 cm)</w:t>
            </w:r>
          </w:p>
        </w:tc>
        <w:tc>
          <w:tcPr>
            <w:tcW w:w="3070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Look at ruler from above, not from the side.</w:t>
            </w:r>
          </w:p>
        </w:tc>
      </w:tr>
      <w:tr w:rsidR="00064C6E" w:rsidRPr="00064C6E" w:rsidTr="00064C6E">
        <w:trPr>
          <w:trHeight w:val="88"/>
        </w:trPr>
        <w:tc>
          <w:tcPr>
            <w:tcW w:w="1403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Mass</w:t>
            </w:r>
          </w:p>
        </w:tc>
        <w:tc>
          <w:tcPr>
            <w:tcW w:w="1772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Amount of matter in a substance</w:t>
            </w:r>
          </w:p>
        </w:tc>
        <w:tc>
          <w:tcPr>
            <w:tcW w:w="927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Gram</w:t>
            </w:r>
          </w:p>
        </w:tc>
        <w:tc>
          <w:tcPr>
            <w:tcW w:w="795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mg</w:t>
            </w:r>
          </w:p>
        </w:tc>
        <w:tc>
          <w:tcPr>
            <w:tcW w:w="1607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Triple beam balance</w:t>
            </w:r>
          </w:p>
        </w:tc>
        <w:tc>
          <w:tcPr>
            <w:tcW w:w="1020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0.1 g</w:t>
            </w:r>
          </w:p>
        </w:tc>
        <w:tc>
          <w:tcPr>
            <w:tcW w:w="3070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Carry the balance with two hands, zero out before using</w:t>
            </w:r>
          </w:p>
        </w:tc>
      </w:tr>
      <w:tr w:rsidR="00064C6E" w:rsidRPr="00064C6E" w:rsidTr="00064C6E">
        <w:trPr>
          <w:trHeight w:val="88"/>
        </w:trPr>
        <w:tc>
          <w:tcPr>
            <w:tcW w:w="1403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Volume (liquid)</w:t>
            </w:r>
          </w:p>
        </w:tc>
        <w:tc>
          <w:tcPr>
            <w:tcW w:w="1772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Amount of space a liquid or gas takes up</w:t>
            </w:r>
          </w:p>
        </w:tc>
        <w:tc>
          <w:tcPr>
            <w:tcW w:w="927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Liter</w:t>
            </w:r>
          </w:p>
        </w:tc>
        <w:tc>
          <w:tcPr>
            <w:tcW w:w="795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mL</w:t>
            </w:r>
          </w:p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cm</w:t>
            </w:r>
            <w:r w:rsidRPr="00064C6E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7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Graduated cylinder</w:t>
            </w:r>
          </w:p>
        </w:tc>
        <w:tc>
          <w:tcPr>
            <w:tcW w:w="1020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1 mL</w:t>
            </w:r>
          </w:p>
        </w:tc>
        <w:tc>
          <w:tcPr>
            <w:tcW w:w="3070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Keep eyes level with the cylinder.  Read the bottom of the meniscus.</w:t>
            </w:r>
          </w:p>
        </w:tc>
      </w:tr>
      <w:tr w:rsidR="00064C6E" w:rsidRPr="00064C6E" w:rsidTr="00064C6E">
        <w:trPr>
          <w:trHeight w:val="88"/>
        </w:trPr>
        <w:tc>
          <w:tcPr>
            <w:tcW w:w="1403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Volume (regular solid)</w:t>
            </w:r>
          </w:p>
        </w:tc>
        <w:tc>
          <w:tcPr>
            <w:tcW w:w="1772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Amount of space a rectangular solid takes up</w:t>
            </w:r>
          </w:p>
        </w:tc>
        <w:tc>
          <w:tcPr>
            <w:tcW w:w="927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Cubic centimeter</w:t>
            </w:r>
          </w:p>
        </w:tc>
        <w:tc>
          <w:tcPr>
            <w:tcW w:w="795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cm</w:t>
            </w:r>
            <w:r w:rsidRPr="00064C6E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7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Metric ruler, calculator</w:t>
            </w:r>
          </w:p>
        </w:tc>
        <w:tc>
          <w:tcPr>
            <w:tcW w:w="1020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0.1 cm</w:t>
            </w:r>
            <w:r w:rsidRPr="00064C6E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70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 xml:space="preserve">Use calculator to find the product of length, width and height. Round out the answer to the tenths place.  </w:t>
            </w:r>
          </w:p>
        </w:tc>
      </w:tr>
      <w:tr w:rsidR="00064C6E" w:rsidRPr="00064C6E" w:rsidTr="00064C6E">
        <w:trPr>
          <w:trHeight w:val="88"/>
        </w:trPr>
        <w:tc>
          <w:tcPr>
            <w:tcW w:w="1403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Volume (irregular solid)</w:t>
            </w:r>
          </w:p>
        </w:tc>
        <w:tc>
          <w:tcPr>
            <w:tcW w:w="1772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Amount of space an irregular solid takes up.</w:t>
            </w:r>
          </w:p>
        </w:tc>
        <w:tc>
          <w:tcPr>
            <w:tcW w:w="927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Cubic centimeter (mL)</w:t>
            </w:r>
          </w:p>
        </w:tc>
        <w:tc>
          <w:tcPr>
            <w:tcW w:w="795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  <w:vertAlign w:val="superscript"/>
              </w:rPr>
            </w:pPr>
            <w:r w:rsidRPr="00064C6E">
              <w:rPr>
                <w:bCs/>
                <w:sz w:val="20"/>
                <w:szCs w:val="20"/>
              </w:rPr>
              <w:t>cm</w:t>
            </w:r>
            <w:r w:rsidRPr="00064C6E">
              <w:rPr>
                <w:bCs/>
                <w:sz w:val="20"/>
                <w:szCs w:val="20"/>
                <w:vertAlign w:val="superscript"/>
              </w:rPr>
              <w:t>3</w:t>
            </w:r>
          </w:p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mL</w:t>
            </w:r>
          </w:p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Overflow cup, graduated cylinder</w:t>
            </w:r>
          </w:p>
        </w:tc>
        <w:tc>
          <w:tcPr>
            <w:tcW w:w="1020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1 mL</w:t>
            </w:r>
          </w:p>
        </w:tc>
        <w:tc>
          <w:tcPr>
            <w:tcW w:w="3070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Fill cup to overflowing.  Allow dripping to cease before dropping item into overflow cup.</w:t>
            </w:r>
          </w:p>
        </w:tc>
      </w:tr>
      <w:tr w:rsidR="00064C6E" w:rsidRPr="00064C6E" w:rsidTr="00064C6E">
        <w:trPr>
          <w:trHeight w:val="524"/>
        </w:trPr>
        <w:tc>
          <w:tcPr>
            <w:tcW w:w="1403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Density</w:t>
            </w:r>
          </w:p>
        </w:tc>
        <w:tc>
          <w:tcPr>
            <w:tcW w:w="1772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How close the particles of a substance are to one another</w:t>
            </w:r>
          </w:p>
        </w:tc>
        <w:tc>
          <w:tcPr>
            <w:tcW w:w="927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Grams/ cubic centimeter</w:t>
            </w:r>
          </w:p>
        </w:tc>
        <w:tc>
          <w:tcPr>
            <w:tcW w:w="795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g/ cm</w:t>
            </w:r>
            <w:r w:rsidRPr="00064C6E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7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Triple beam balance and devices for measuring volume+ calculator</w:t>
            </w:r>
          </w:p>
        </w:tc>
        <w:tc>
          <w:tcPr>
            <w:tcW w:w="1020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0.1 g/ cm</w:t>
            </w:r>
            <w:r w:rsidRPr="00064C6E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70" w:type="dxa"/>
          </w:tcPr>
          <w:p w:rsidR="00064C6E" w:rsidRPr="00064C6E" w:rsidRDefault="00064C6E" w:rsidP="00064C6E">
            <w:pPr>
              <w:rPr>
                <w:bCs/>
                <w:sz w:val="20"/>
                <w:szCs w:val="20"/>
              </w:rPr>
            </w:pPr>
            <w:r w:rsidRPr="00064C6E">
              <w:rPr>
                <w:bCs/>
                <w:sz w:val="20"/>
                <w:szCs w:val="20"/>
              </w:rPr>
              <w:t>Obey rules for volume and mass.</w:t>
            </w:r>
          </w:p>
        </w:tc>
      </w:tr>
    </w:tbl>
    <w:p w:rsidR="00064C6E" w:rsidRDefault="00064C6E" w:rsidP="0086702E"/>
    <w:p w:rsidR="0086702E" w:rsidRDefault="0086702E" w:rsidP="0086702E">
      <w:r>
        <w:t xml:space="preserve">Thanks to all who sent </w:t>
      </w:r>
      <w:proofErr w:type="gramStart"/>
      <w:r>
        <w:t>suggestions.</w:t>
      </w:r>
      <w:proofErr w:type="gramEnd"/>
      <w:r>
        <w:t xml:space="preserve">   I knew I was not familiar with the prefixes for those between nanometer and millimeter and feel much better to know that the "</w:t>
      </w:r>
      <w:proofErr w:type="spellStart"/>
      <w:r>
        <w:t>inbetweens</w:t>
      </w:r>
      <w:proofErr w:type="spellEnd"/>
      <w:r>
        <w:t>" are not listed.  I thought maybe I was having a "senior moment".</w:t>
      </w:r>
      <w:r>
        <w:br/>
      </w:r>
      <w:r>
        <w:br/>
        <w:t>I especially liked the suggestion that students contemplate why not and what they might be and how they might be used if they were included.</w:t>
      </w:r>
    </w:p>
    <w:p w:rsidR="0086702E" w:rsidRDefault="0086702E" w:rsidP="0086702E">
      <w:r>
        <w:t>Thanks again.  Have a great day.</w:t>
      </w:r>
    </w:p>
    <w:p w:rsidR="0086702E" w:rsidRDefault="0086702E" w:rsidP="0086702E">
      <w:r>
        <w:t>Ann Huber</w:t>
      </w:r>
    </w:p>
    <w:p w:rsidR="0086702E" w:rsidRDefault="0086702E" w:rsidP="0086702E">
      <w:pPr>
        <w:rPr>
          <w:color w:val="888888"/>
        </w:rPr>
      </w:pPr>
      <w:r>
        <w:rPr>
          <w:color w:val="888888"/>
        </w:rPr>
        <w:t>Delta State University</w:t>
      </w:r>
    </w:p>
    <w:p w:rsidR="0086702E" w:rsidRDefault="0086702E" w:rsidP="0086702E">
      <w:pPr>
        <w:rPr>
          <w:color w:val="888888"/>
        </w:rPr>
      </w:pPr>
      <w:r>
        <w:rPr>
          <w:color w:val="888888"/>
        </w:rPr>
        <w:t>E-Learning:  Physics and Physical Science</w:t>
      </w:r>
    </w:p>
    <w:p w:rsidR="0086702E" w:rsidRDefault="0086702E" w:rsidP="0086702E">
      <w:pPr>
        <w:rPr>
          <w:color w:val="888888"/>
        </w:rPr>
      </w:pPr>
      <w:r>
        <w:rPr>
          <w:color w:val="888888"/>
        </w:rPr>
        <w:t>Cleveland, MS</w:t>
      </w:r>
    </w:p>
    <w:p w:rsidR="0086702E" w:rsidRPr="0086702E" w:rsidRDefault="0086702E" w:rsidP="0086702E">
      <w:pPr>
        <w:rPr>
          <w:b/>
        </w:rPr>
      </w:pPr>
    </w:p>
    <w:sectPr w:rsidR="0086702E" w:rsidRPr="0086702E" w:rsidSect="00B2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2E"/>
    <w:rsid w:val="00064C6E"/>
    <w:rsid w:val="0027735C"/>
    <w:rsid w:val="005A7DAA"/>
    <w:rsid w:val="0086702E"/>
    <w:rsid w:val="00A358C3"/>
    <w:rsid w:val="00B27CCF"/>
    <w:rsid w:val="00BE4172"/>
    <w:rsid w:val="00E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E0704-EA34-47F0-9073-BFE7024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0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0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702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members.dslextreme.com/users/oxy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ss-science.org/" TargetMode="External"/><Relationship Id="rId12" Type="http://schemas.openxmlformats.org/officeDocument/2006/relationships/hyperlink" Target="http://www.primepuzzle.com/leesnewest/funny-metric-chart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ter.mclaren@ride.ri.gov" TargetMode="External"/><Relationship Id="rId11" Type="http://schemas.openxmlformats.org/officeDocument/2006/relationships/hyperlink" Target="http://osters.weebly.com/" TargetMode="External"/><Relationship Id="rId5" Type="http://schemas.openxmlformats.org/officeDocument/2006/relationships/hyperlink" Target="http://www.bipm.org/utils/common/pdf/si_brochure_8_en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hristopher.osters@jefferson.kyschools.us" TargetMode="External"/><Relationship Id="rId4" Type="http://schemas.openxmlformats.org/officeDocument/2006/relationships/hyperlink" Target="http://www.metricconversion.us/prefixes.htm" TargetMode="External"/><Relationship Id="rId9" Type="http://schemas.openxmlformats.org/officeDocument/2006/relationships/hyperlink" Target="http://htwins.net/scale2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dwsunal</dc:creator>
  <cp:keywords/>
  <dc:description/>
  <cp:lastModifiedBy>Tina Ogodo</cp:lastModifiedBy>
  <cp:revision>2</cp:revision>
  <dcterms:created xsi:type="dcterms:W3CDTF">2017-01-26T21:21:00Z</dcterms:created>
  <dcterms:modified xsi:type="dcterms:W3CDTF">2017-01-26T21:21:00Z</dcterms:modified>
</cp:coreProperties>
</file>